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4961"/>
      </w:tblGrid>
      <w:tr w:rsidR="001406EA" w:rsidRPr="00620617" w:rsidTr="007334AF">
        <w:trPr>
          <w:tblHeader/>
          <w:jc w:val="center"/>
        </w:trPr>
        <w:tc>
          <w:tcPr>
            <w:tcW w:w="1696" w:type="dxa"/>
            <w:vMerge w:val="restart"/>
            <w:vAlign w:val="center"/>
          </w:tcPr>
          <w:p w:rsidR="001406EA" w:rsidRPr="00620617" w:rsidRDefault="001406EA" w:rsidP="00B67429">
            <w:pPr>
              <w:jc w:val="center"/>
              <w:rPr>
                <w:b/>
              </w:rPr>
            </w:pPr>
            <w:bookmarkStart w:id="0" w:name="_GoBack"/>
            <w:bookmarkEnd w:id="0"/>
            <w:r w:rsidRPr="00620617">
              <w:rPr>
                <w:b/>
              </w:rPr>
              <w:t>Инструмент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1406EA" w:rsidRPr="00620617" w:rsidRDefault="001406EA" w:rsidP="00B67429">
            <w:pPr>
              <w:jc w:val="center"/>
              <w:rPr>
                <w:b/>
              </w:rPr>
            </w:pPr>
            <w:r w:rsidRPr="00620617">
              <w:rPr>
                <w:b/>
              </w:rPr>
              <w:t>Банк развития</w:t>
            </w:r>
          </w:p>
        </w:tc>
      </w:tr>
      <w:tr w:rsidR="001406EA" w:rsidRPr="00620617" w:rsidTr="007334AF">
        <w:trPr>
          <w:tblHeader/>
          <w:jc w:val="center"/>
        </w:trPr>
        <w:tc>
          <w:tcPr>
            <w:tcW w:w="1696" w:type="dxa"/>
            <w:vMerge/>
          </w:tcPr>
          <w:p w:rsidR="001406EA" w:rsidRPr="00620617" w:rsidRDefault="001406EA" w:rsidP="00B6742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E599" w:themeFill="accent4" w:themeFillTint="66"/>
          </w:tcPr>
          <w:p w:rsidR="001406EA" w:rsidRPr="00620617" w:rsidRDefault="001406EA" w:rsidP="00B67429">
            <w:pPr>
              <w:jc w:val="center"/>
              <w:rPr>
                <w:b/>
              </w:rPr>
            </w:pPr>
            <w:r w:rsidRPr="00620617">
              <w:rPr>
                <w:b/>
              </w:rPr>
              <w:t>Старая редакция Указа 534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:rsidR="001406EA" w:rsidRPr="00620617" w:rsidRDefault="001406EA" w:rsidP="00B67429">
            <w:pPr>
              <w:jc w:val="center"/>
              <w:rPr>
                <w:b/>
              </w:rPr>
            </w:pPr>
            <w:r w:rsidRPr="00620617">
              <w:rPr>
                <w:b/>
              </w:rPr>
              <w:t>Новая редакция Указа 534</w:t>
            </w:r>
          </w:p>
        </w:tc>
      </w:tr>
      <w:tr w:rsidR="001406EA" w:rsidRPr="00C80F1F" w:rsidTr="007334AF">
        <w:trPr>
          <w:jc w:val="center"/>
        </w:trPr>
        <w:tc>
          <w:tcPr>
            <w:tcW w:w="1696" w:type="dxa"/>
          </w:tcPr>
          <w:p w:rsidR="001406EA" w:rsidRDefault="001406EA" w:rsidP="00B67429">
            <w:r>
              <w:t xml:space="preserve">Кредит резидентам </w:t>
            </w:r>
            <w:r w:rsidRPr="00B0700D">
              <w:rPr>
                <w:u w:val="single"/>
              </w:rPr>
              <w:t>(</w:t>
            </w:r>
            <w:r w:rsidRPr="005833A6">
              <w:rPr>
                <w:b/>
                <w:u w:val="single"/>
              </w:rPr>
              <w:t>за исключением лизинговых организаций</w:t>
            </w:r>
            <w:r w:rsidRPr="00B0700D">
              <w:rPr>
                <w:u w:val="single"/>
              </w:rPr>
              <w:t>)</w:t>
            </w:r>
          </w:p>
        </w:tc>
        <w:tc>
          <w:tcPr>
            <w:tcW w:w="2694" w:type="dxa"/>
          </w:tcPr>
          <w:p w:rsidR="001406EA" w:rsidRDefault="001406EA" w:rsidP="00B67429">
            <w:r>
              <w:t>Не предусмотрен</w:t>
            </w:r>
          </w:p>
        </w:tc>
        <w:tc>
          <w:tcPr>
            <w:tcW w:w="4961" w:type="dxa"/>
          </w:tcPr>
          <w:p w:rsidR="001406EA" w:rsidRPr="00C80F1F" w:rsidRDefault="001406EA" w:rsidP="001406EA">
            <w:pPr>
              <w:pStyle w:val="ConsPlusNormal"/>
              <w:numPr>
                <w:ilvl w:val="0"/>
                <w:numId w:val="6"/>
              </w:numPr>
              <w:tabs>
                <w:tab w:val="left" w:pos="886"/>
              </w:tabs>
              <w:ind w:left="0" w:firstLine="360"/>
              <w:jc w:val="both"/>
              <w:rPr>
                <w:color w:val="000000" w:themeColor="text1"/>
              </w:rPr>
            </w:pPr>
            <w:r w:rsidRPr="00CF3FA3">
              <w:rPr>
                <w:color w:val="0070C0"/>
              </w:rPr>
              <w:t>Предоставляется в 2021 - 2022 годах</w:t>
            </w:r>
            <w:r>
              <w:rPr>
                <w:color w:val="000000" w:themeColor="text1"/>
              </w:rPr>
              <w:t xml:space="preserve">, </w:t>
            </w:r>
            <w:r w:rsidRPr="003F63A1">
              <w:rPr>
                <w:b/>
                <w:color w:val="000000" w:themeColor="text1"/>
              </w:rPr>
              <w:t>цель:</w:t>
            </w:r>
            <w:r w:rsidRPr="00C80F1F">
              <w:rPr>
                <w:color w:val="000000" w:themeColor="text1"/>
              </w:rPr>
              <w:t xml:space="preserve"> для производства товаров, включенных в перечень, и иных товаров (работ, услуг) и последующей их реализации организациям, не являющимся резидентами.</w:t>
            </w:r>
          </w:p>
          <w:p w:rsidR="001406EA" w:rsidRDefault="001406EA" w:rsidP="00B67429">
            <w:pPr>
              <w:pStyle w:val="ConsPlusNormal"/>
              <w:jc w:val="both"/>
              <w:rPr>
                <w:color w:val="000000" w:themeColor="text1"/>
              </w:rPr>
            </w:pPr>
            <w:r w:rsidRPr="00EF6DFA">
              <w:rPr>
                <w:color w:val="0070C0"/>
                <w:u w:val="single"/>
              </w:rPr>
              <w:t>График погашения указанных кредитов определяется исходя из срока, необходимого для производства товаров, включенных в перечень, и иных товаров (работ, услуг), не превышающего 180 календарных дней, и срока их реализации организациям, не являющимся резидентами, в соответствии с условиями экспортного контракта</w:t>
            </w:r>
            <w:r>
              <w:rPr>
                <w:color w:val="000000" w:themeColor="text1"/>
              </w:rPr>
              <w:t>.</w:t>
            </w:r>
          </w:p>
          <w:p w:rsidR="001406EA" w:rsidRPr="00B5020D" w:rsidRDefault="001406EA" w:rsidP="001406EA">
            <w:pPr>
              <w:pStyle w:val="ConsPlusNormal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B5020D">
              <w:rPr>
                <w:b/>
              </w:rPr>
              <w:t>Размер:</w:t>
            </w:r>
          </w:p>
          <w:p w:rsidR="001406EA" w:rsidRDefault="001406EA" w:rsidP="001406EA">
            <w:pPr>
              <w:pStyle w:val="ConsPlusNormal"/>
              <w:numPr>
                <w:ilvl w:val="0"/>
                <w:numId w:val="15"/>
              </w:numPr>
              <w:ind w:left="0" w:firstLine="360"/>
              <w:jc w:val="both"/>
            </w:pPr>
            <w:r>
              <w:t>не более стоимости экспортного контракта для краткосрочных экспортных кредитов;</w:t>
            </w:r>
          </w:p>
          <w:p w:rsidR="001406EA" w:rsidRDefault="001406EA" w:rsidP="001406EA">
            <w:pPr>
              <w:pStyle w:val="ConsPlusNormal"/>
              <w:numPr>
                <w:ilvl w:val="0"/>
                <w:numId w:val="15"/>
              </w:numPr>
              <w:ind w:left="0" w:firstLine="360"/>
              <w:jc w:val="both"/>
            </w:pPr>
            <w:r>
              <w:t>не более 85% стоимости экспортного контракта для долгосрочных экспортных кредитов;</w:t>
            </w:r>
          </w:p>
          <w:p w:rsidR="001406EA" w:rsidRPr="00A825A0" w:rsidRDefault="001406EA" w:rsidP="001406EA">
            <w:pPr>
              <w:pStyle w:val="ConsPlusNormal"/>
              <w:numPr>
                <w:ilvl w:val="0"/>
                <w:numId w:val="15"/>
              </w:numPr>
              <w:ind w:left="0" w:firstLine="360"/>
              <w:jc w:val="both"/>
              <w:rPr>
                <w:color w:val="000000" w:themeColor="text1"/>
              </w:rPr>
            </w:pPr>
            <w:r w:rsidRPr="001C36FF">
              <w:rPr>
                <w:color w:val="0070C0"/>
                <w:u w:val="single"/>
              </w:rPr>
              <w:t>в совокупности 3 млн. долларов США</w:t>
            </w:r>
            <w:r>
              <w:t xml:space="preserve"> в эквиваленте на одного кредитополучателя с учетом остатка задолженности этого кредитополучателя по основному долгу по экспортным кредитам.</w:t>
            </w:r>
          </w:p>
          <w:p w:rsidR="001406EA" w:rsidRPr="001C36FF" w:rsidRDefault="001406EA" w:rsidP="001406EA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color w:val="0070C0"/>
                <w:u w:val="single"/>
              </w:rPr>
            </w:pPr>
            <w:r w:rsidRPr="001C36FF">
              <w:rPr>
                <w:b/>
                <w:color w:val="0070C0"/>
                <w:u w:val="single"/>
              </w:rPr>
              <w:t>Компенсация</w:t>
            </w:r>
            <w:r w:rsidRPr="001C36FF">
              <w:rPr>
                <w:color w:val="0070C0"/>
                <w:u w:val="single"/>
              </w:rPr>
              <w:t xml:space="preserve"> потерь производится:</w:t>
            </w:r>
          </w:p>
          <w:p w:rsidR="001406EA" w:rsidRPr="001C36FF" w:rsidRDefault="001406EA" w:rsidP="001406EA">
            <w:pPr>
              <w:pStyle w:val="ConsPlusNormal"/>
              <w:numPr>
                <w:ilvl w:val="0"/>
                <w:numId w:val="20"/>
              </w:numPr>
              <w:tabs>
                <w:tab w:val="left" w:pos="651"/>
              </w:tabs>
              <w:ind w:left="18" w:firstLine="342"/>
              <w:jc w:val="both"/>
              <w:rPr>
                <w:color w:val="0070C0"/>
                <w:u w:val="single"/>
              </w:rPr>
            </w:pPr>
            <w:r w:rsidRPr="001C36FF">
              <w:rPr>
                <w:color w:val="0070C0"/>
                <w:u w:val="single"/>
              </w:rPr>
              <w:t>после подтверждения Министерству финансов факта реализации товаров, включенных в перечень, и иных товаров (работ, услуг) организациям, не являющимся резидентами.</w:t>
            </w:r>
          </w:p>
          <w:p w:rsidR="001406EA" w:rsidRPr="005E3F09" w:rsidRDefault="001406EA" w:rsidP="001406EA">
            <w:pPr>
              <w:pStyle w:val="ConsPlusNormal"/>
              <w:numPr>
                <w:ilvl w:val="0"/>
                <w:numId w:val="20"/>
              </w:numPr>
              <w:tabs>
                <w:tab w:val="left" w:pos="651"/>
              </w:tabs>
              <w:ind w:left="18" w:firstLine="342"/>
              <w:jc w:val="both"/>
              <w:rPr>
                <w:color w:val="000000" w:themeColor="text1"/>
              </w:rPr>
            </w:pPr>
            <w:r w:rsidRPr="005E3F09">
              <w:rPr>
                <w:color w:val="000000" w:themeColor="text1"/>
              </w:rPr>
              <w:t>в пределах средств, предусмотренных в республиканском бюджете на эти цели, в порядке и размерах, установленных Советом Министров Республики Беларусь.</w:t>
            </w:r>
          </w:p>
          <w:p w:rsidR="001406EA" w:rsidRDefault="001406EA" w:rsidP="00B67429">
            <w:pPr>
              <w:pStyle w:val="ConsPlusNormal"/>
              <w:ind w:left="360"/>
              <w:jc w:val="both"/>
            </w:pPr>
          </w:p>
          <w:p w:rsidR="001406EA" w:rsidRPr="00C80F1F" w:rsidRDefault="001406EA" w:rsidP="00B67429">
            <w:pPr>
              <w:pStyle w:val="ConsPlusNormal"/>
              <w:spacing w:before="22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1406EA" w:rsidTr="007334AF">
        <w:trPr>
          <w:jc w:val="center"/>
        </w:trPr>
        <w:tc>
          <w:tcPr>
            <w:tcW w:w="9351" w:type="dxa"/>
            <w:gridSpan w:val="3"/>
          </w:tcPr>
          <w:p w:rsidR="001406EA" w:rsidRPr="002B3B2C" w:rsidRDefault="001406EA" w:rsidP="001406EA">
            <w:pPr>
              <w:pStyle w:val="ConsPlusNormal"/>
              <w:ind w:firstLine="540"/>
              <w:jc w:val="both"/>
              <w:rPr>
                <w:b/>
                <w:u w:val="single"/>
              </w:rPr>
            </w:pPr>
            <w:r w:rsidRPr="002B3B2C">
              <w:rPr>
                <w:b/>
                <w:u w:val="single"/>
              </w:rPr>
              <w:t>Сохранившиеся условия:</w:t>
            </w:r>
          </w:p>
          <w:p w:rsidR="001406EA" w:rsidRDefault="001406EA" w:rsidP="001406EA">
            <w:pPr>
              <w:pStyle w:val="ConsPlusNormal"/>
              <w:numPr>
                <w:ilvl w:val="0"/>
                <w:numId w:val="24"/>
              </w:numPr>
              <w:jc w:val="both"/>
            </w:pPr>
            <w:r>
              <w:t>Компенсация потерь производится при условии страхования экспортных рисков или страхования экспортных рисков с поддержкой государства.</w:t>
            </w:r>
          </w:p>
          <w:p w:rsidR="001406EA" w:rsidRDefault="001406EA" w:rsidP="001406EA">
            <w:pPr>
              <w:pStyle w:val="ConsPlusNormal"/>
              <w:numPr>
                <w:ilvl w:val="0"/>
                <w:numId w:val="24"/>
              </w:numPr>
              <w:jc w:val="both"/>
            </w:pPr>
            <w:r>
              <w:t>Ставки по кредитам:</w:t>
            </w:r>
          </w:p>
          <w:p w:rsidR="001406EA" w:rsidRDefault="001406EA" w:rsidP="001406EA">
            <w:pPr>
              <w:pStyle w:val="ConsPlusNormal"/>
              <w:numPr>
                <w:ilvl w:val="0"/>
                <w:numId w:val="23"/>
              </w:numPr>
              <w:ind w:left="455" w:firstLine="445"/>
              <w:jc w:val="both"/>
            </w:pPr>
            <w:r>
              <w:t>в иностранной валюте (за исключением российских рублей) - по коммерчески ориентированным процентным ставкам (</w:t>
            </w:r>
            <w:proofErr w:type="spellStart"/>
            <w:r>
              <w:t>CIRRs</w:t>
            </w:r>
            <w:proofErr w:type="spellEnd"/>
            <w:r>
              <w:t>), действующим на день заключения кредитного договора;</w:t>
            </w:r>
          </w:p>
          <w:p w:rsidR="001406EA" w:rsidRDefault="001406EA" w:rsidP="001406EA">
            <w:pPr>
              <w:pStyle w:val="ConsPlusNormal"/>
              <w:numPr>
                <w:ilvl w:val="0"/>
                <w:numId w:val="23"/>
              </w:numPr>
              <w:ind w:left="455" w:firstLine="445"/>
              <w:jc w:val="both"/>
            </w:pPr>
            <w:r>
              <w:t>в российских и белорусских рублях - по коммерчески ориентированным процентным ставкам (</w:t>
            </w:r>
            <w:proofErr w:type="spellStart"/>
            <w:r>
              <w:t>CIRRs</w:t>
            </w:r>
            <w:proofErr w:type="spellEnd"/>
            <w:r>
              <w:t>), при их отсутствии - не менее 2/3 ключевой ставки, установленной ЦБ РФ, и не менее 2/3 ставки рефинансирования, установленной НБ РБ на день заключения кредитных договоров, соответственно.</w:t>
            </w:r>
          </w:p>
        </w:tc>
      </w:tr>
      <w:tr w:rsidR="001406EA" w:rsidTr="007334AF">
        <w:trPr>
          <w:jc w:val="center"/>
        </w:trPr>
        <w:tc>
          <w:tcPr>
            <w:tcW w:w="9351" w:type="dxa"/>
            <w:gridSpan w:val="3"/>
          </w:tcPr>
          <w:p w:rsidR="001406EA" w:rsidRPr="00230B54" w:rsidRDefault="001406EA" w:rsidP="001406EA">
            <w:pPr>
              <w:pStyle w:val="ConsPlusNormal"/>
              <w:ind w:firstLine="540"/>
              <w:jc w:val="both"/>
              <w:rPr>
                <w:b/>
                <w:color w:val="FF0000"/>
                <w:u w:val="single"/>
              </w:rPr>
            </w:pPr>
            <w:r w:rsidRPr="00230B54">
              <w:rPr>
                <w:b/>
                <w:color w:val="FF0000"/>
                <w:u w:val="single"/>
              </w:rPr>
              <w:t>Согласно новой редакции Указа, не допускается:</w:t>
            </w:r>
          </w:p>
          <w:p w:rsidR="001406EA" w:rsidRPr="00230B54" w:rsidRDefault="001406EA" w:rsidP="001406EA">
            <w:pPr>
              <w:pStyle w:val="ConsPlusNormal"/>
              <w:numPr>
                <w:ilvl w:val="0"/>
                <w:numId w:val="25"/>
              </w:numPr>
              <w:ind w:left="597" w:firstLine="303"/>
              <w:jc w:val="both"/>
              <w:rPr>
                <w:color w:val="FF0000"/>
              </w:rPr>
            </w:pPr>
            <w:r w:rsidRPr="00230B54">
              <w:rPr>
                <w:color w:val="FF0000"/>
              </w:rPr>
              <w:t xml:space="preserve">выдача двух и более экспортных кредитов, осуществление два и более раза финансирования под уступку денежного требования (факторинга), </w:t>
            </w:r>
            <w:proofErr w:type="spellStart"/>
            <w:r w:rsidRPr="00230B54">
              <w:rPr>
                <w:color w:val="FF0000"/>
              </w:rPr>
              <w:t>постфинансирования</w:t>
            </w:r>
            <w:proofErr w:type="spellEnd"/>
            <w:r w:rsidRPr="00230B54">
              <w:rPr>
                <w:color w:val="FF0000"/>
              </w:rPr>
              <w:t xml:space="preserve"> и дисконтирования аккредитивов (в том числе любое их сочетание), связанных с финансированием производства, оплаты одних и тех же товаров (работ, услуг);</w:t>
            </w:r>
          </w:p>
          <w:p w:rsidR="001406EA" w:rsidRPr="002B3B2C" w:rsidRDefault="001406EA" w:rsidP="001406EA">
            <w:pPr>
              <w:pStyle w:val="ConsPlusNormal"/>
              <w:numPr>
                <w:ilvl w:val="0"/>
                <w:numId w:val="25"/>
              </w:numPr>
              <w:ind w:left="597" w:firstLine="303"/>
              <w:jc w:val="both"/>
            </w:pPr>
            <w:r w:rsidRPr="00230B54">
              <w:rPr>
                <w:color w:val="FF0000"/>
              </w:rPr>
              <w:t xml:space="preserve">финансирование экспорта товаров, реализованных на условиях </w:t>
            </w:r>
            <w:hyperlink r:id="rId5" w:history="1">
              <w:r w:rsidRPr="00230B54">
                <w:rPr>
                  <w:color w:val="FF0000"/>
                </w:rPr>
                <w:t>Указа</w:t>
              </w:r>
            </w:hyperlink>
            <w:r w:rsidRPr="00230B54">
              <w:rPr>
                <w:color w:val="FF0000"/>
              </w:rPr>
              <w:t xml:space="preserve"> Президента Республики Беларусь от 24 сентября 2009 г. N 466 "О некоторых мерах по реализации товаров, произведенных в Республике Беларусь".</w:t>
            </w:r>
          </w:p>
        </w:tc>
      </w:tr>
    </w:tbl>
    <w:p w:rsidR="009674CA" w:rsidRDefault="009674CA"/>
    <w:sectPr w:rsidR="009674CA" w:rsidSect="007334A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F29"/>
    <w:multiLevelType w:val="hybridMultilevel"/>
    <w:tmpl w:val="7C7AC7A2"/>
    <w:lvl w:ilvl="0" w:tplc="D14A9806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060E6C46"/>
    <w:multiLevelType w:val="hybridMultilevel"/>
    <w:tmpl w:val="1B8C3F6E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813"/>
    <w:multiLevelType w:val="hybridMultilevel"/>
    <w:tmpl w:val="BDC01A1E"/>
    <w:lvl w:ilvl="0" w:tplc="F8600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F33431"/>
    <w:multiLevelType w:val="hybridMultilevel"/>
    <w:tmpl w:val="E1BA56FC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0FC9"/>
    <w:multiLevelType w:val="hybridMultilevel"/>
    <w:tmpl w:val="926A4FDC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4A77"/>
    <w:multiLevelType w:val="multilevel"/>
    <w:tmpl w:val="9846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79164E"/>
    <w:multiLevelType w:val="hybridMultilevel"/>
    <w:tmpl w:val="C77694BE"/>
    <w:lvl w:ilvl="0" w:tplc="D14A9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B23B44"/>
    <w:multiLevelType w:val="hybridMultilevel"/>
    <w:tmpl w:val="D818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57AB"/>
    <w:multiLevelType w:val="hybridMultilevel"/>
    <w:tmpl w:val="DFBCC198"/>
    <w:lvl w:ilvl="0" w:tplc="FC5CD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84056"/>
    <w:multiLevelType w:val="hybridMultilevel"/>
    <w:tmpl w:val="EA72A6F2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01E3"/>
    <w:multiLevelType w:val="hybridMultilevel"/>
    <w:tmpl w:val="32684996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268D"/>
    <w:multiLevelType w:val="hybridMultilevel"/>
    <w:tmpl w:val="AF08695A"/>
    <w:lvl w:ilvl="0" w:tplc="B27C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31E5F"/>
    <w:multiLevelType w:val="hybridMultilevel"/>
    <w:tmpl w:val="CAF2625E"/>
    <w:lvl w:ilvl="0" w:tplc="D14A9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115FFA"/>
    <w:multiLevelType w:val="multilevel"/>
    <w:tmpl w:val="4F4A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A87B11"/>
    <w:multiLevelType w:val="hybridMultilevel"/>
    <w:tmpl w:val="15EAFA0E"/>
    <w:lvl w:ilvl="0" w:tplc="D14A9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C61E2C"/>
    <w:multiLevelType w:val="hybridMultilevel"/>
    <w:tmpl w:val="2B1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0CB2"/>
    <w:multiLevelType w:val="hybridMultilevel"/>
    <w:tmpl w:val="5F7C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6714"/>
    <w:multiLevelType w:val="hybridMultilevel"/>
    <w:tmpl w:val="7FCC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C5106"/>
    <w:multiLevelType w:val="hybridMultilevel"/>
    <w:tmpl w:val="500C6300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678B6"/>
    <w:multiLevelType w:val="hybridMultilevel"/>
    <w:tmpl w:val="6232AC08"/>
    <w:lvl w:ilvl="0" w:tplc="D14A9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4D71CB"/>
    <w:multiLevelType w:val="hybridMultilevel"/>
    <w:tmpl w:val="8E2A4928"/>
    <w:lvl w:ilvl="0" w:tplc="D14A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B2BE8"/>
    <w:multiLevelType w:val="hybridMultilevel"/>
    <w:tmpl w:val="41FE2334"/>
    <w:lvl w:ilvl="0" w:tplc="A28AE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B05DF"/>
    <w:multiLevelType w:val="hybridMultilevel"/>
    <w:tmpl w:val="C82A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5728"/>
    <w:multiLevelType w:val="hybridMultilevel"/>
    <w:tmpl w:val="C532CC36"/>
    <w:lvl w:ilvl="0" w:tplc="8D22E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42B01"/>
    <w:multiLevelType w:val="hybridMultilevel"/>
    <w:tmpl w:val="FA426E16"/>
    <w:lvl w:ilvl="0" w:tplc="D14A9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20"/>
  </w:num>
  <w:num w:numId="18">
    <w:abstractNumId w:val="22"/>
  </w:num>
  <w:num w:numId="19">
    <w:abstractNumId w:val="0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EA"/>
    <w:rsid w:val="001406EA"/>
    <w:rsid w:val="0014525E"/>
    <w:rsid w:val="00384F2A"/>
    <w:rsid w:val="007334AF"/>
    <w:rsid w:val="009674CA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2A9F5-4F98-4CCD-B021-3A6FCF8F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4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49DF07CB06484B668BA4F8902D9DA6C8E3C00FE8C990608962A896BD6F8E81EC39C6BF8ED9AEFB5D677C73407689A2A94AM6e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Владислав Владимирович</dc:creator>
  <cp:keywords/>
  <dc:description/>
  <cp:lastModifiedBy>Попков Владислав Владимирович</cp:lastModifiedBy>
  <cp:revision>2</cp:revision>
  <dcterms:created xsi:type="dcterms:W3CDTF">2021-02-22T11:28:00Z</dcterms:created>
  <dcterms:modified xsi:type="dcterms:W3CDTF">2021-02-22T11:28:00Z</dcterms:modified>
</cp:coreProperties>
</file>